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waterdrop osiąga 150 mln euro przychodu i rentowność. Firma podsumowuje pierwszą dekadę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10 latach waterdrop ma ponad 5 mln klientów na świecie i chce łączyć dalszą ekspansję z bardziej lokalnym modelem działania. Marka ma dziś ponad 50 sklepów, w tym 5 w Europie Środkowo-Wschodniej. Polska pozostaje priorytetowym rynkiem w regionie, a waterdrop konsekwentnie zwiększa tu dostępność swoich produktów – w samej sieci Rossmann można je znaleźć w blisko 2 tys. drogerii. Firma rozbudowuje także lokalny zespół i planuje otwarcie biura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waterdrop dostępna jest w Polsce od 2020 roku i systematycznie zwiększa dostępność swoich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Dziś kapsułki rozpuszczalne w wodzie, butelki, karafki i kubki termiczne waterdrop można kupić w blisko 2 tys. drogerii Rossmann w całym kraju. Firma współpracuje również z sieciami Carrefour, Decathlon i Empik oraz punktami Relay i InMedio</w:t>
      </w:r>
      <w:r>
        <w:rPr>
          <w:rFonts w:ascii="calibri" w:hAnsi="calibri" w:eastAsia="calibri" w:cs="calibri"/>
          <w:sz w:val="24"/>
          <w:szCs w:val="24"/>
        </w:rPr>
        <w:t xml:space="preserve"> należącymi do grupy Lagardère. Rozwija także sprzedaż online – jej produkty są dostępne na platformie Żabka Jush oraz w sklepach gemini.pl, strefatenisa.pl i sportano.pl.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kolejnej dekadzie waterdrop planuje kontynuować ekspansję, wzmacniając pozycję na obecnych rynkach i zwiększając skalę działalności poza Europą. Firma chce przy tym rozwijać lokalny model działania i zwiększać samodzielność zespołów w poszczególnych krajach. </w:t>
      </w:r>
      <w:r>
        <w:rPr>
          <w:rFonts w:ascii="calibri" w:hAnsi="calibri" w:eastAsia="calibri" w:cs="calibri"/>
          <w:sz w:val="24"/>
          <w:szCs w:val="24"/>
          <w:b/>
        </w:rPr>
        <w:t xml:space="preserve">W 2018 roku waterdrop rozpoczął działalność w Europie Środkowo-Wschodniej </w:t>
      </w:r>
      <w:r>
        <w:rPr>
          <w:rFonts w:ascii="calibri" w:hAnsi="calibri" w:eastAsia="calibri" w:cs="calibri"/>
          <w:sz w:val="24"/>
          <w:szCs w:val="24"/>
        </w:rPr>
        <w:t xml:space="preserve">w ramach swojego pierwszego wspólnego przedsięwzięcia biznesowego. Za region odpowiada biuro w Brnie, jedno z 10 biur waterdrop na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jest jednym z naszych priorytetowych rynków w Europie Środkowo-Wschodniej. Widzimy tu duży potencjał i chcemy jeszcze lepiej odpowiadać na potrzeby polskich konsumentów. Rozbudowa lokalnego zespołu i otwarcie biura w Warszawie pozwolą nam lepiej zrozumieć specyfikę lokalnego rynku i szybciej reagować na zachodzące na nim zmiany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5 mln klientów, obecność w ponad 40 krajach na czterech kontynentach i 25 tys. punktów sprzedaży – tak waterdrop zamyka pierwszą dekadę działalności. W ciągu 10 lat marka wprowadziła ponad 60 smaków kapsułek w ramach linii Microdrink, Microenergy i Microlyte oraz wyprodukowała ich łącznie ponad 1,1 mld. Założona w Wiedniu w 2016 roku firma zatrudnia dziś ponad 400 osób, a w 2025 roku osiągnęła około 150 mln euro przychodu i stała się rentowna.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kolejnych 10 latach myślę z jeszcze większym entuzjazmem niż o pierwszej dekadzie. Jesteśmy rentowni, rośniemy i osiągnęliśmy etap rozwoju, który pozwala nam realizować plany, jakie mieliśmy dla waterdrop od początku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Martin Murray, Founder &amp; CEO waterdrop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częścią globalnej obecności waterdrop są współprace – </w:t>
      </w:r>
      <w:r>
        <w:rPr>
          <w:rFonts w:ascii="calibri" w:hAnsi="calibri" w:eastAsia="calibri" w:cs="calibri"/>
          <w:sz w:val="24"/>
          <w:szCs w:val="24"/>
          <w:b/>
        </w:rPr>
        <w:t xml:space="preserve">marka jest partnerem ATP Tour i oficjalnym partnerem Australian Open w kategorii butelek oraz ma 14 ambasadorów. </w:t>
      </w:r>
      <w:r>
        <w:rPr>
          <w:rFonts w:ascii="calibri" w:hAnsi="calibri" w:eastAsia="calibri" w:cs="calibri"/>
          <w:sz w:val="24"/>
          <w:szCs w:val="24"/>
        </w:rPr>
        <w:t xml:space="preserve">Wśród nich są m.in. tenisiści Hubert Hurkacz, Novak Djoković, Sebastian Korda, Taylor Fritz, Cameron Norrie, Andriej Rublow, Danielle Collins i Elina Switolina oraz norweski narciarz alpejski Aleksander Aamodt Kilde. Jednocześnie firma stale podejmuje współprace w nowych obszarach –</w:t>
      </w:r>
      <w:r>
        <w:rPr>
          <w:rFonts w:ascii="calibri" w:hAnsi="calibri" w:eastAsia="calibri" w:cs="calibri"/>
          <w:sz w:val="24"/>
          <w:szCs w:val="24"/>
          <w:b/>
        </w:rPr>
        <w:t xml:space="preserve"> w 2026 roku została oficjalnym partnerem w kategorii butelek Konkursu Piosenki Eurowizji w Wiedniu, a Yannick Alléno, którego restauracje mają największą łączną liczbę gwiazdek Michelin na świecie, objął w waterdrop funkcję Chief Tastemaker Officer.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Jubileuszowi waterdrop towarzyszy sześciotygodniowa kampania „10 Years of Making Waves”. Z tej okazji marka przygotowała limitowaną kolekcję obejmującą m.in. specjalne edycje butelek oraz akcesoria.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2026-08-21T00:25:22+02:00</dcterms:created>
  <dcterms:modified xsi:type="dcterms:W3CDTF">2026-08-21T00:25:22+02:00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